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u w:val="single"/>
        </w:rPr>
      </w:pPr>
      <w:r w:rsidRPr="00514A2D">
        <w:rPr>
          <w:rFonts w:ascii="Times New Roman" w:eastAsia="Times New Roman" w:hAnsi="Times New Roman" w:cs="Times New Roman"/>
          <w:b/>
          <w:sz w:val="24"/>
          <w:szCs w:val="24"/>
          <w:u w:val="single"/>
        </w:rPr>
        <w:t>NON-DISCLOSURE AGREEMENT</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Non-Disclosure Agreement (‘‘</w:t>
      </w:r>
      <w:r w:rsidRPr="00514A2D">
        <w:rPr>
          <w:rFonts w:ascii="Times New Roman" w:eastAsia="Times New Roman" w:hAnsi="Times New Roman" w:cs="Times New Roman"/>
          <w:b/>
          <w:sz w:val="24"/>
          <w:szCs w:val="24"/>
        </w:rPr>
        <w:t>Agreement’’</w:t>
      </w:r>
      <w:r w:rsidRPr="00514A2D">
        <w:rPr>
          <w:rFonts w:ascii="Times New Roman" w:eastAsia="Times New Roman" w:hAnsi="Times New Roman" w:cs="Times New Roman"/>
          <w:sz w:val="24"/>
          <w:szCs w:val="24"/>
        </w:rPr>
        <w:t>) is executed at New Delhi and is made and effective as of 01st August, 2022 (“</w:t>
      </w:r>
      <w:r w:rsidRPr="00514A2D">
        <w:rPr>
          <w:rFonts w:ascii="Times New Roman" w:eastAsia="Times New Roman" w:hAnsi="Times New Roman" w:cs="Times New Roman"/>
          <w:b/>
          <w:sz w:val="24"/>
          <w:szCs w:val="24"/>
        </w:rPr>
        <w:t>Effective Date</w:t>
      </w:r>
      <w:r w:rsidRPr="00514A2D">
        <w:rPr>
          <w:rFonts w:ascii="Times New Roman" w:eastAsia="Times New Roman" w:hAnsi="Times New Roman" w:cs="Times New Roman"/>
          <w:sz w:val="24"/>
          <w:szCs w:val="24"/>
        </w:rPr>
        <w:t>”).</w:t>
      </w:r>
    </w:p>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BY AND BETWEEN</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M/s ABC, a partnership firm incorporated under the Indian Partnership Act, 1932 and having its registered office at Suite 200, Mezzanine Floor, Sunrise Building, New Delhi, 110010 (hereinafter referred to as the “</w:t>
      </w:r>
      <w:r w:rsidRPr="00514A2D">
        <w:rPr>
          <w:rFonts w:ascii="Times New Roman" w:eastAsia="Times New Roman" w:hAnsi="Times New Roman" w:cs="Times New Roman"/>
          <w:b/>
          <w:sz w:val="24"/>
          <w:szCs w:val="24"/>
        </w:rPr>
        <w:t>Disclosing Party</w:t>
      </w:r>
      <w:r w:rsidRPr="00514A2D">
        <w:rPr>
          <w:rFonts w:ascii="Times New Roman" w:eastAsia="Times New Roman" w:hAnsi="Times New Roman" w:cs="Times New Roman"/>
          <w:sz w:val="24"/>
          <w:szCs w:val="24"/>
        </w:rPr>
        <w:t>”, which expression unless repugnant to the meaning and context hereof, shall deem to include its successors-in-interest and permitted assigns) being the party of the First Part;</w:t>
      </w:r>
    </w:p>
    <w:p w:rsidR="00F77F73" w:rsidRPr="00514A2D" w:rsidRDefault="00514A2D">
      <w:pPr>
        <w:pStyle w:val="normal0"/>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AND</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Ms. Tina </w:t>
      </w:r>
      <w:proofErr w:type="spellStart"/>
      <w:r w:rsidRPr="00514A2D">
        <w:rPr>
          <w:rFonts w:ascii="Times New Roman" w:eastAsia="Times New Roman" w:hAnsi="Times New Roman" w:cs="Times New Roman"/>
          <w:sz w:val="24"/>
          <w:szCs w:val="24"/>
        </w:rPr>
        <w:t>Malhotra</w:t>
      </w:r>
      <w:proofErr w:type="spellEnd"/>
      <w:r w:rsidRPr="00514A2D">
        <w:rPr>
          <w:rFonts w:ascii="Times New Roman" w:eastAsia="Times New Roman" w:hAnsi="Times New Roman" w:cs="Times New Roman"/>
          <w:sz w:val="24"/>
          <w:szCs w:val="24"/>
        </w:rPr>
        <w:t xml:space="preserve">, daughter of Mr. </w:t>
      </w:r>
      <w:proofErr w:type="spellStart"/>
      <w:r w:rsidRPr="00514A2D">
        <w:rPr>
          <w:rFonts w:ascii="Times New Roman" w:eastAsia="Times New Roman" w:hAnsi="Times New Roman" w:cs="Times New Roman"/>
          <w:sz w:val="24"/>
          <w:szCs w:val="24"/>
        </w:rPr>
        <w:t>Anupam</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Malhotra</w:t>
      </w:r>
      <w:proofErr w:type="spellEnd"/>
      <w:r w:rsidRPr="00514A2D">
        <w:rPr>
          <w:rFonts w:ascii="Times New Roman" w:eastAsia="Times New Roman" w:hAnsi="Times New Roman" w:cs="Times New Roman"/>
          <w:sz w:val="24"/>
          <w:szCs w:val="24"/>
        </w:rPr>
        <w:t xml:space="preserve">, resident of A-104, </w:t>
      </w:r>
      <w:proofErr w:type="spellStart"/>
      <w:r w:rsidRPr="00514A2D">
        <w:rPr>
          <w:rFonts w:ascii="Times New Roman" w:eastAsia="Times New Roman" w:hAnsi="Times New Roman" w:cs="Times New Roman"/>
          <w:sz w:val="24"/>
          <w:szCs w:val="24"/>
        </w:rPr>
        <w:t>Jal</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Vayu</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Vihar</w:t>
      </w:r>
      <w:proofErr w:type="spellEnd"/>
      <w:r w:rsidRPr="00514A2D">
        <w:rPr>
          <w:rFonts w:ascii="Times New Roman" w:eastAsia="Times New Roman" w:hAnsi="Times New Roman" w:cs="Times New Roman"/>
          <w:sz w:val="24"/>
          <w:szCs w:val="24"/>
        </w:rPr>
        <w:t xml:space="preserve">, Sector 59, </w:t>
      </w:r>
      <w:proofErr w:type="spellStart"/>
      <w:r w:rsidRPr="00514A2D">
        <w:rPr>
          <w:rFonts w:ascii="Times New Roman" w:eastAsia="Times New Roman" w:hAnsi="Times New Roman" w:cs="Times New Roman"/>
          <w:sz w:val="24"/>
          <w:szCs w:val="24"/>
        </w:rPr>
        <w:t>Noida</w:t>
      </w:r>
      <w:proofErr w:type="spellEnd"/>
      <w:r w:rsidRPr="00514A2D">
        <w:rPr>
          <w:rFonts w:ascii="Times New Roman" w:eastAsia="Times New Roman" w:hAnsi="Times New Roman" w:cs="Times New Roman"/>
          <w:sz w:val="24"/>
          <w:szCs w:val="24"/>
        </w:rPr>
        <w:t>, 201301 (hereinafter referred to as the “</w:t>
      </w:r>
      <w:r w:rsidRPr="00514A2D">
        <w:rPr>
          <w:rFonts w:ascii="Times New Roman" w:eastAsia="Times New Roman" w:hAnsi="Times New Roman" w:cs="Times New Roman"/>
          <w:b/>
          <w:sz w:val="24"/>
          <w:szCs w:val="24"/>
        </w:rPr>
        <w:t>Receiving Party</w:t>
      </w:r>
      <w:r w:rsidRPr="00514A2D">
        <w:rPr>
          <w:rFonts w:ascii="Times New Roman" w:eastAsia="Times New Roman" w:hAnsi="Times New Roman" w:cs="Times New Roman"/>
          <w:sz w:val="24"/>
          <w:szCs w:val="24"/>
        </w:rPr>
        <w:t>”, which expression shall, unless repugnant to the meaning and context hereof, deem to include its successors and permitted assigns), being the party of the other Part;</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Hereinafter ‘Disclosing Party’ and ‘Receiving Party’ shall individually be referred to as such or as “</w:t>
      </w:r>
      <w:r w:rsidRPr="00514A2D">
        <w:rPr>
          <w:rFonts w:ascii="Times New Roman" w:eastAsia="Times New Roman" w:hAnsi="Times New Roman" w:cs="Times New Roman"/>
          <w:b/>
          <w:sz w:val="24"/>
          <w:szCs w:val="24"/>
        </w:rPr>
        <w:t>Party</w:t>
      </w:r>
      <w:r w:rsidRPr="00514A2D">
        <w:rPr>
          <w:rFonts w:ascii="Times New Roman" w:eastAsia="Times New Roman" w:hAnsi="Times New Roman" w:cs="Times New Roman"/>
          <w:sz w:val="24"/>
          <w:szCs w:val="24"/>
        </w:rPr>
        <w:t>”, and collectively be referred to as the “</w:t>
      </w:r>
      <w:r w:rsidRPr="00514A2D">
        <w:rPr>
          <w:rFonts w:ascii="Times New Roman" w:eastAsia="Times New Roman" w:hAnsi="Times New Roman" w:cs="Times New Roman"/>
          <w:b/>
          <w:sz w:val="24"/>
          <w:szCs w:val="24"/>
        </w:rPr>
        <w:t>Parties</w:t>
      </w:r>
      <w:r w:rsidRPr="00514A2D">
        <w:rPr>
          <w:rFonts w:ascii="Times New Roman" w:eastAsia="Times New Roman" w:hAnsi="Times New Roman" w:cs="Times New Roman"/>
          <w:sz w:val="24"/>
          <w:szCs w:val="24"/>
        </w:rPr>
        <w:t>”.</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NOW THEREFORE the Parties hereby agree as under:</w:t>
      </w:r>
    </w:p>
    <w:p w:rsidR="00F77F73" w:rsidRPr="00514A2D" w:rsidRDefault="00514A2D">
      <w:pPr>
        <w:pStyle w:val="normal0"/>
        <w:numPr>
          <w:ilvl w:val="0"/>
          <w:numId w:val="1"/>
        </w:numPr>
        <w:shd w:val="clear" w:color="auto" w:fill="FFFFFF"/>
        <w:spacing w:before="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OBJECTIVE</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 xml:space="preserve">The Disclosing Party is a reputed real estate law firm which has been engaged by the Receiving Party for providing legal advisory for acquiring a warehouse in Nagpur, India. </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The Disclosing Party is desirous of engaging the Receiving Party for providing local assistance and legal advisory in respect of due diligence of a warehouse in Nagpur, India and land parcels on which the said warehouse is constructed (“</w:t>
      </w:r>
      <w:r w:rsidRPr="00514A2D">
        <w:rPr>
          <w:rFonts w:ascii="Times New Roman" w:eastAsia="Times New Roman" w:hAnsi="Times New Roman" w:cs="Times New Roman"/>
          <w:b/>
          <w:sz w:val="24"/>
          <w:szCs w:val="24"/>
          <w:highlight w:val="white"/>
        </w:rPr>
        <w:t>Purpose</w:t>
      </w:r>
      <w:r w:rsidRPr="00514A2D">
        <w:rPr>
          <w:rFonts w:ascii="Times New Roman" w:eastAsia="Times New Roman" w:hAnsi="Times New Roman" w:cs="Times New Roman"/>
          <w:sz w:val="24"/>
          <w:szCs w:val="24"/>
          <w:highlight w:val="white"/>
        </w:rPr>
        <w:t>”),</w:t>
      </w:r>
      <w:r w:rsidRPr="00514A2D">
        <w:rPr>
          <w:rFonts w:ascii="Times New Roman" w:eastAsia="Times New Roman" w:hAnsi="Times New Roman" w:cs="Times New Roman"/>
          <w:b/>
          <w:sz w:val="24"/>
          <w:szCs w:val="24"/>
          <w:highlight w:val="white"/>
        </w:rPr>
        <w:t xml:space="preserve"> </w:t>
      </w:r>
      <w:r w:rsidRPr="00514A2D">
        <w:rPr>
          <w:rFonts w:ascii="Times New Roman" w:eastAsia="Times New Roman" w:hAnsi="Times New Roman" w:cs="Times New Roman"/>
          <w:sz w:val="24"/>
          <w:szCs w:val="24"/>
          <w:highlight w:val="white"/>
        </w:rPr>
        <w:t>and for the Purpose, the Disclosing Party intends to exchange, disclose and make available to the other Party certain Confidential Information (as defined under clause 2) on the terms and conditions appearing hereunder.</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DEFINITION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‘Confidential Information’ shall mean information and records disclosed by the Disclosing Party to Receiving Party, to fulfill the Purpose, after the Effective Date whether marked as confidential or not.</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NON-DISCLOSURE AND NON-USE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use the Confidential Information within the scope of the Purpose of providing services and not for any other purpose.</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lastRenderedPageBreak/>
        <w:t>Receiving Party shall not reveal Confidential Information to any third party, except with the prior written consent of the Disclosing Party.</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not make copies of Confidential Information, except with the prior written consent of the Disclosing Party.</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RETURN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Within </w:t>
      </w:r>
      <w:r w:rsidRPr="00514A2D">
        <w:rPr>
          <w:rFonts w:ascii="Times New Roman" w:eastAsia="Times New Roman" w:hAnsi="Times New Roman" w:cs="Times New Roman"/>
          <w:sz w:val="24"/>
          <w:szCs w:val="24"/>
          <w:highlight w:val="white"/>
        </w:rPr>
        <w:t>7 (seven) business days</w:t>
      </w:r>
      <w:r w:rsidRPr="00514A2D">
        <w:rPr>
          <w:rFonts w:ascii="Times New Roman" w:eastAsia="Times New Roman" w:hAnsi="Times New Roman" w:cs="Times New Roman"/>
          <w:sz w:val="24"/>
          <w:szCs w:val="24"/>
        </w:rPr>
        <w:t xml:space="preserve"> of receipt of the Disclosing Party’s written request, Receiving Party shall return to Disclosing Party all Confidential Information and copies thereof, all at the sole discretion of the Disclosing Party.</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REMEDIES AND LIABILITY</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keep the Disclosing Party harmless and indemnified from any and all losses, damages, demands, claims, actions, liabilities, dues, cost, expense, proceedings, etc., caused to or suffered by or incurred by the Disclosing Party due to or arising out of or in relation to any misrepresentation and / or breach of any obligation, responsibility or covenant herein by the Receiving Party, his employees, service providers, agents, workers, associates, etc.</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NON – ASSIGNMENT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This Agreement shall not be assigned or otherwise transferred in whole or partly by the Receiving Party without the prior consent of the Disclosing Party.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 GRANT OF RIGHTS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Nothing in this Agreement grants the Receiving Party any rights with regard to Confidential Information including without limitation a grant by implication, </w:t>
      </w:r>
      <w:proofErr w:type="spellStart"/>
      <w:r w:rsidRPr="00514A2D">
        <w:rPr>
          <w:rFonts w:ascii="Times New Roman" w:eastAsia="Times New Roman" w:hAnsi="Times New Roman" w:cs="Times New Roman"/>
          <w:sz w:val="24"/>
          <w:szCs w:val="24"/>
        </w:rPr>
        <w:t>estoppel</w:t>
      </w:r>
      <w:proofErr w:type="spellEnd"/>
      <w:r w:rsidRPr="00514A2D">
        <w:rPr>
          <w:rFonts w:ascii="Times New Roman" w:eastAsia="Times New Roman" w:hAnsi="Times New Roman" w:cs="Times New Roman"/>
          <w:sz w:val="24"/>
          <w:szCs w:val="24"/>
        </w:rPr>
        <w:t xml:space="preserve"> or otherwise, of a license by the Disclosing Party to the Receiving Party to make, have made, use, or sell any product using Confidential Information or as a license in any patent, patent application, utility model, copyright, mask work right, or any other intellectual property right. </w:t>
      </w:r>
    </w:p>
    <w:p w:rsidR="00F77F73" w:rsidRPr="00DB2F97" w:rsidRDefault="00514A2D">
      <w:pPr>
        <w:pStyle w:val="normal0"/>
        <w:numPr>
          <w:ilvl w:val="0"/>
          <w:numId w:val="1"/>
        </w:numPr>
        <w:shd w:val="clear" w:color="auto" w:fill="FFFFFF"/>
        <w:jc w:val="both"/>
        <w:rPr>
          <w:rFonts w:ascii="Times New Roman" w:eastAsia="Times New Roman" w:hAnsi="Times New Roman" w:cs="Times New Roman"/>
          <w:b/>
          <w:sz w:val="24"/>
          <w:szCs w:val="24"/>
          <w:highlight w:val="yellow"/>
        </w:rPr>
      </w:pPr>
      <w:r w:rsidRPr="00DB2F97">
        <w:rPr>
          <w:rFonts w:ascii="Times New Roman" w:eastAsia="Times New Roman" w:hAnsi="Times New Roman" w:cs="Times New Roman"/>
          <w:b/>
          <w:sz w:val="24"/>
          <w:szCs w:val="24"/>
          <w:highlight w:val="yellow"/>
        </w:rPr>
        <w:t>DURATION</w:t>
      </w:r>
    </w:p>
    <w:p w:rsidR="00F77F73" w:rsidRPr="00DB2F97" w:rsidRDefault="00514A2D">
      <w:pPr>
        <w:pStyle w:val="normal0"/>
        <w:numPr>
          <w:ilvl w:val="1"/>
          <w:numId w:val="1"/>
        </w:numPr>
        <w:shd w:val="clear" w:color="auto" w:fill="FFFFFF"/>
        <w:jc w:val="both"/>
        <w:rPr>
          <w:rFonts w:ascii="Times New Roman" w:eastAsia="Times New Roman" w:hAnsi="Times New Roman" w:cs="Times New Roman"/>
          <w:sz w:val="24"/>
          <w:szCs w:val="24"/>
          <w:highlight w:val="yellow"/>
        </w:rPr>
      </w:pPr>
      <w:r w:rsidRPr="00DB2F97">
        <w:rPr>
          <w:rFonts w:ascii="Times New Roman" w:eastAsia="Times New Roman" w:hAnsi="Times New Roman" w:cs="Times New Roman"/>
          <w:sz w:val="24"/>
          <w:szCs w:val="24"/>
          <w:highlight w:val="yellow"/>
        </w:rPr>
        <w:t>This Agreement is effective as of the Effective Date and valid for the period as set out in clause 8.2. Parties agree that a signed fax or scanned copy of this Agreement is as legally binding as the original signed agreement.</w:t>
      </w:r>
    </w:p>
    <w:p w:rsidR="00F77F73" w:rsidRPr="00DB2F97" w:rsidRDefault="00514A2D">
      <w:pPr>
        <w:pStyle w:val="normal0"/>
        <w:numPr>
          <w:ilvl w:val="1"/>
          <w:numId w:val="1"/>
        </w:numPr>
        <w:shd w:val="clear" w:color="auto" w:fill="FFFFFF"/>
        <w:jc w:val="both"/>
        <w:rPr>
          <w:rFonts w:ascii="Times New Roman" w:eastAsia="Times New Roman" w:hAnsi="Times New Roman" w:cs="Times New Roman"/>
          <w:sz w:val="24"/>
          <w:szCs w:val="24"/>
          <w:highlight w:val="yellow"/>
        </w:rPr>
      </w:pPr>
      <w:r w:rsidRPr="00DB2F97">
        <w:rPr>
          <w:rFonts w:ascii="Times New Roman" w:eastAsia="Times New Roman" w:hAnsi="Times New Roman" w:cs="Times New Roman"/>
          <w:sz w:val="24"/>
          <w:szCs w:val="24"/>
          <w:highlight w:val="yellow"/>
        </w:rPr>
        <w:t xml:space="preserve">This Agreement and the obligation to keep Confidential Information secret shall continue in effect until 2 (Two) years following the Effective Date.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GENERAL PROVISIONS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constitutes the entire agreement of the Parties concerning disclosure of Confidential Information and supersedes all prior or contemporaneous oral or written agreements concerning this subject. This Agreement may be amended if agreed upon in writing and signed by both Parties.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If any part of this Agreement shall be declared invalid or unenforceable by a tribunal or court of competent jurisdiction, such declaration shall not affect the validity of the remainder of this Agreement.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lastRenderedPageBreak/>
        <w:t>Any written communication between the Parties under this Agreement will be addressed to the Parties through registered post, tracked courier or through hand-deliver only on the address given in the preamble of this Agreement.</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GOVERNING LAW AND DISPUTE RESOLUTION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The validity, performance, construction and effect of this Agreement shall be governed by the laws of India, and the parties hereto hereby submit to the exclusive jurisdiction of the Courts at New Delhi, without regard to conflict of law principles.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In case of all disputes or differences whatsoever arises between the Parties hereto, arising out of or in relation to this Agreement (“Dispute”), the Parties shall use all reasonable endeavors to negotiate with a view to resolving the Dispute amicably.</w:t>
      </w:r>
    </w:p>
    <w:p w:rsidR="00F77F73" w:rsidRPr="00514A2D" w:rsidRDefault="00514A2D">
      <w:pPr>
        <w:pStyle w:val="normal0"/>
        <w:numPr>
          <w:ilvl w:val="1"/>
          <w:numId w:val="1"/>
        </w:numPr>
        <w:shd w:val="clear" w:color="auto" w:fill="FFFFFF"/>
        <w:spacing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If a Party gives the other party notice that a Dispute has arisen (a Dispute Notice) and the Parties are unable to resolve the Dispute amicably within 10 (Ten) days of service of the Dispute Notice (or such longer period as the Parties may mutually agree), then the Dispute shall be referred to arbitration in accordance the provisions of the Arbitration &amp; Conciliation Act, 1996</w:t>
      </w:r>
      <w:r w:rsidRPr="00514A2D">
        <w:rPr>
          <w:rFonts w:ascii="Times New Roman" w:eastAsia="Times New Roman" w:hAnsi="Times New Roman" w:cs="Times New Roman"/>
          <w:sz w:val="24"/>
          <w:szCs w:val="24"/>
          <w:highlight w:val="white"/>
        </w:rPr>
        <w:t>. The arbitration proceedings shall be conducted by a Sole Arbitrator to be appointed by the Disclosing Party. The venue of the arbitration shall be at New Delhi and the language of the arbitral proceedings shall be English.</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IN WITNESS WHEREOF, the Parties have caused this Agreement to be executed by their duly authorized representatives on the date and year first above written.</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 xml:space="preserve"> </w:t>
      </w:r>
    </w:p>
    <w:tbl>
      <w:tblPr>
        <w:tblStyle w:val="a"/>
        <w:tblW w:w="9360" w:type="dxa"/>
        <w:tblBorders>
          <w:top w:val="nil"/>
          <w:left w:val="nil"/>
          <w:bottom w:val="nil"/>
          <w:right w:val="nil"/>
          <w:insideH w:val="nil"/>
          <w:insideV w:val="nil"/>
        </w:tblBorders>
        <w:tblLayout w:type="fixed"/>
        <w:tblLook w:val="0600"/>
      </w:tblPr>
      <w:tblGrid>
        <w:gridCol w:w="4515"/>
        <w:gridCol w:w="4845"/>
      </w:tblGrid>
      <w:tr w:rsidR="00F77F73" w:rsidRPr="00514A2D">
        <w:trPr>
          <w:cantSplit/>
          <w:trHeight w:val="1526"/>
          <w:tblHeader/>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Mr. </w:t>
            </w:r>
            <w:proofErr w:type="spellStart"/>
            <w:r w:rsidRPr="00514A2D">
              <w:rPr>
                <w:rFonts w:ascii="Times New Roman" w:eastAsia="Times New Roman" w:hAnsi="Times New Roman" w:cs="Times New Roman"/>
                <w:sz w:val="24"/>
                <w:szCs w:val="24"/>
              </w:rPr>
              <w:t>Rahul</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Khanna</w:t>
            </w:r>
            <w:proofErr w:type="spellEnd"/>
          </w:p>
          <w:p w:rsidR="00F77F73" w:rsidRPr="00514A2D" w:rsidRDefault="00514A2D">
            <w:pPr>
              <w:pStyle w:val="normal0"/>
              <w:spacing w:before="120" w:after="120"/>
              <w:ind w:left="100"/>
              <w:jc w:val="both"/>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For and on behalf of M/s ABC</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Ms. Tina </w:t>
            </w:r>
            <w:proofErr w:type="spellStart"/>
            <w:r w:rsidRPr="00514A2D">
              <w:rPr>
                <w:rFonts w:ascii="Times New Roman" w:eastAsia="Times New Roman" w:hAnsi="Times New Roman" w:cs="Times New Roman"/>
                <w:sz w:val="24"/>
                <w:szCs w:val="24"/>
              </w:rPr>
              <w:t>Malhotra</w:t>
            </w:r>
            <w:proofErr w:type="spellEnd"/>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r w:rsidR="00F77F73" w:rsidRPr="00514A2D">
        <w:trPr>
          <w:cantSplit/>
          <w:trHeight w:val="1192"/>
          <w:tblHeader/>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Witness 1</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nil"/>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Witness 2</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bl>
    <w:p w:rsidR="00F77F73" w:rsidRPr="00514A2D" w:rsidRDefault="00F77F73">
      <w:pPr>
        <w:pStyle w:val="normal0"/>
        <w:shd w:val="clear" w:color="auto" w:fill="FFFFFF"/>
        <w:spacing w:before="240" w:after="240"/>
        <w:jc w:val="both"/>
        <w:rPr>
          <w:rFonts w:ascii="Times New Roman" w:eastAsia="Times New Roman" w:hAnsi="Times New Roman" w:cs="Times New Roman"/>
          <w:b/>
          <w:sz w:val="24"/>
          <w:szCs w:val="24"/>
          <w:u w:val="single"/>
        </w:rPr>
      </w:pPr>
    </w:p>
    <w:sectPr w:rsidR="00F77F73" w:rsidRPr="00514A2D" w:rsidSect="00F77F7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57217"/>
    <w:multiLevelType w:val="multilevel"/>
    <w:tmpl w:val="4FF83A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F73"/>
    <w:rsid w:val="00514A2D"/>
    <w:rsid w:val="005169ED"/>
    <w:rsid w:val="00DB2F97"/>
    <w:rsid w:val="00F77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ED"/>
  </w:style>
  <w:style w:type="paragraph" w:styleId="Heading1">
    <w:name w:val="heading 1"/>
    <w:basedOn w:val="normal0"/>
    <w:next w:val="normal0"/>
    <w:rsid w:val="00F77F73"/>
    <w:pPr>
      <w:keepNext/>
      <w:keepLines/>
      <w:spacing w:before="400" w:after="120"/>
      <w:outlineLvl w:val="0"/>
    </w:pPr>
    <w:rPr>
      <w:sz w:val="40"/>
      <w:szCs w:val="40"/>
    </w:rPr>
  </w:style>
  <w:style w:type="paragraph" w:styleId="Heading2">
    <w:name w:val="heading 2"/>
    <w:basedOn w:val="normal0"/>
    <w:next w:val="normal0"/>
    <w:rsid w:val="00F77F73"/>
    <w:pPr>
      <w:keepNext/>
      <w:keepLines/>
      <w:spacing w:before="360" w:after="120"/>
      <w:outlineLvl w:val="1"/>
    </w:pPr>
    <w:rPr>
      <w:sz w:val="32"/>
      <w:szCs w:val="32"/>
    </w:rPr>
  </w:style>
  <w:style w:type="paragraph" w:styleId="Heading3">
    <w:name w:val="heading 3"/>
    <w:basedOn w:val="normal0"/>
    <w:next w:val="normal0"/>
    <w:rsid w:val="00F77F73"/>
    <w:pPr>
      <w:keepNext/>
      <w:keepLines/>
      <w:spacing w:before="320" w:after="80"/>
      <w:outlineLvl w:val="2"/>
    </w:pPr>
    <w:rPr>
      <w:color w:val="434343"/>
      <w:sz w:val="28"/>
      <w:szCs w:val="28"/>
    </w:rPr>
  </w:style>
  <w:style w:type="paragraph" w:styleId="Heading4">
    <w:name w:val="heading 4"/>
    <w:basedOn w:val="normal0"/>
    <w:next w:val="normal0"/>
    <w:rsid w:val="00F77F73"/>
    <w:pPr>
      <w:keepNext/>
      <w:keepLines/>
      <w:spacing w:before="280" w:after="80"/>
      <w:outlineLvl w:val="3"/>
    </w:pPr>
    <w:rPr>
      <w:color w:val="666666"/>
      <w:sz w:val="24"/>
      <w:szCs w:val="24"/>
    </w:rPr>
  </w:style>
  <w:style w:type="paragraph" w:styleId="Heading5">
    <w:name w:val="heading 5"/>
    <w:basedOn w:val="normal0"/>
    <w:next w:val="normal0"/>
    <w:rsid w:val="00F77F73"/>
    <w:pPr>
      <w:keepNext/>
      <w:keepLines/>
      <w:spacing w:before="240" w:after="80"/>
      <w:outlineLvl w:val="4"/>
    </w:pPr>
    <w:rPr>
      <w:color w:val="666666"/>
    </w:rPr>
  </w:style>
  <w:style w:type="paragraph" w:styleId="Heading6">
    <w:name w:val="heading 6"/>
    <w:basedOn w:val="normal0"/>
    <w:next w:val="normal0"/>
    <w:rsid w:val="00F77F7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7F73"/>
  </w:style>
  <w:style w:type="paragraph" w:styleId="Title">
    <w:name w:val="Title"/>
    <w:basedOn w:val="normal0"/>
    <w:next w:val="normal0"/>
    <w:rsid w:val="00F77F73"/>
    <w:pPr>
      <w:keepNext/>
      <w:keepLines/>
      <w:spacing w:after="60"/>
    </w:pPr>
    <w:rPr>
      <w:sz w:val="52"/>
      <w:szCs w:val="52"/>
    </w:rPr>
  </w:style>
  <w:style w:type="paragraph" w:styleId="Subtitle">
    <w:name w:val="Subtitle"/>
    <w:basedOn w:val="normal0"/>
    <w:next w:val="normal0"/>
    <w:rsid w:val="00F77F73"/>
    <w:pPr>
      <w:keepNext/>
      <w:keepLines/>
      <w:spacing w:after="320"/>
    </w:pPr>
    <w:rPr>
      <w:color w:val="666666"/>
      <w:sz w:val="30"/>
      <w:szCs w:val="30"/>
    </w:rPr>
  </w:style>
  <w:style w:type="table" w:customStyle="1" w:styleId="a">
    <w:basedOn w:val="TableNormal"/>
    <w:rsid w:val="00F77F73"/>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5486</Characters>
  <Application>Microsoft Office Word</Application>
  <DocSecurity>0</DocSecurity>
  <Lines>45</Lines>
  <Paragraphs>12</Paragraphs>
  <ScaleCrop>false</ScaleCrop>
  <Company>HP Inc.</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2022-09-07T11:21:00Z</dcterms:created>
  <dcterms:modified xsi:type="dcterms:W3CDTF">2022-09-07T11:23:00Z</dcterms:modified>
</cp:coreProperties>
</file>